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中大惠亚医院</w:t>
      </w:r>
      <w:bookmarkStart w:id="0" w:name="OLE_LINK2"/>
      <w:bookmarkStart w:id="1" w:name="OLE_LINK1"/>
      <w:r>
        <w:rPr>
          <w:rFonts w:hint="eastAsia" w:asciiTheme="minorEastAsia" w:hAnsiTheme="minorEastAsia" w:eastAsiaTheme="minorEastAsia" w:cstheme="minorEastAsia"/>
          <w:sz w:val="21"/>
          <w:szCs w:val="21"/>
        </w:rPr>
        <w:t>医院信息系统项目</w:t>
      </w:r>
      <w:bookmarkEnd w:id="0"/>
      <w:bookmarkEnd w:id="1"/>
      <w:r>
        <w:rPr>
          <w:rFonts w:hint="eastAsia" w:asciiTheme="minorEastAsia" w:hAnsiTheme="minorEastAsia" w:eastAsiaTheme="minorEastAsia" w:cstheme="minorEastAsia"/>
          <w:sz w:val="21"/>
          <w:szCs w:val="21"/>
        </w:rPr>
        <w:t>技术要求</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用户需求</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一、采购内容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bl>
      <w:tblPr>
        <w:tblStyle w:val="16"/>
        <w:tblW w:w="6587" w:type="dxa"/>
        <w:jc w:val="center"/>
        <w:tblLayout w:type="fixed"/>
        <w:tblCellMar>
          <w:top w:w="0" w:type="dxa"/>
          <w:left w:w="108" w:type="dxa"/>
          <w:bottom w:w="0" w:type="dxa"/>
          <w:right w:w="108" w:type="dxa"/>
        </w:tblCellMar>
      </w:tblPr>
      <w:tblGrid>
        <w:gridCol w:w="1066"/>
        <w:gridCol w:w="3781"/>
        <w:gridCol w:w="1740"/>
      </w:tblGrid>
      <w:tr>
        <w:tblPrEx>
          <w:tblCellMar>
            <w:top w:w="0" w:type="dxa"/>
            <w:left w:w="108" w:type="dxa"/>
            <w:bottom w:w="0" w:type="dxa"/>
            <w:right w:w="108" w:type="dxa"/>
          </w:tblCellMar>
        </w:tblPrEx>
        <w:trPr>
          <w:trHeight w:val="507" w:hRule="atLeast"/>
          <w:tblHeader/>
          <w:jc w:val="center"/>
        </w:trPr>
        <w:tc>
          <w:tcPr>
            <w:tcW w:w="106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序号</w:t>
            </w:r>
          </w:p>
        </w:tc>
        <w:tc>
          <w:tcPr>
            <w:tcW w:w="378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采购项目名称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数量</w:t>
            </w:r>
          </w:p>
        </w:tc>
      </w:tr>
      <w:tr>
        <w:tblPrEx>
          <w:tblCellMar>
            <w:top w:w="0" w:type="dxa"/>
            <w:left w:w="108" w:type="dxa"/>
            <w:bottom w:w="0" w:type="dxa"/>
            <w:right w:w="108" w:type="dxa"/>
          </w:tblCellMar>
        </w:tblPrEx>
        <w:trPr>
          <w:trHeight w:val="507" w:hRule="atLeast"/>
          <w:jc w:val="center"/>
        </w:trPr>
        <w:tc>
          <w:tcPr>
            <w:tcW w:w="1066" w:type="dxa"/>
            <w:tcBorders>
              <w:left w:val="single" w:color="000000" w:sz="4" w:space="0"/>
              <w:bottom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81" w:type="dxa"/>
            <w:tcBorders>
              <w:left w:val="single" w:color="000000" w:sz="4" w:space="0"/>
              <w:bottom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检验系统与检验</w:t>
            </w:r>
            <w:r>
              <w:rPr>
                <w:rFonts w:hint="eastAsia" w:asciiTheme="minorEastAsia" w:hAnsiTheme="minorEastAsia" w:cstheme="minorEastAsia"/>
                <w:kern w:val="0"/>
                <w:sz w:val="21"/>
                <w:szCs w:val="21"/>
                <w:lang w:eastAsia="zh-CN"/>
              </w:rPr>
              <w:t>流水线</w:t>
            </w:r>
            <w:r>
              <w:rPr>
                <w:rFonts w:hint="eastAsia" w:asciiTheme="minorEastAsia" w:hAnsiTheme="minorEastAsia" w:eastAsiaTheme="minorEastAsia" w:cstheme="minorEastAsia"/>
                <w:kern w:val="0"/>
                <w:sz w:val="21"/>
                <w:szCs w:val="21"/>
                <w:lang w:eastAsia="zh-CN"/>
              </w:rPr>
              <w:t>对接项目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1项</w:t>
            </w:r>
          </w:p>
        </w:tc>
      </w:tr>
    </w:tbl>
    <w:p>
      <w:pPr>
        <w:keepNext w:val="0"/>
        <w:keepLines w:val="0"/>
        <w:pageBreakBefore w:val="0"/>
        <w:widowControl/>
        <w:kinsoku/>
        <w:wordWrap/>
        <w:overflowPunct/>
        <w:topLinePunct w:val="0"/>
        <w:autoSpaceDE/>
        <w:autoSpaceDN/>
        <w:bidi w:val="0"/>
        <w:adjustRightInd/>
        <w:snapToGrid/>
        <w:spacing w:line="360" w:lineRule="auto"/>
        <w:ind w:left="630" w:hanging="630" w:hangingChars="300"/>
        <w:jc w:val="left"/>
        <w:textAlignment w:val="auto"/>
        <w:rPr>
          <w:rFonts w:hint="eastAsia" w:asciiTheme="minorEastAsia" w:hAnsiTheme="minorEastAsia" w:eastAsiaTheme="minorEastAsia" w:cstheme="minorEastAsia"/>
          <w:kern w:val="0"/>
          <w:sz w:val="21"/>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bookmarkStart w:id="2" w:name="_Toc7515549"/>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二、项目描述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本项目为检验科</w:t>
      </w:r>
      <w:r>
        <w:rPr>
          <w:rFonts w:hint="eastAsia" w:asciiTheme="minorEastAsia" w:hAnsiTheme="minorEastAsia" w:cstheme="minorEastAsia"/>
          <w:color w:val="auto"/>
          <w:sz w:val="21"/>
          <w:szCs w:val="21"/>
          <w:lang w:eastAsia="zh-CN"/>
        </w:rPr>
        <w:t>与急诊科</w:t>
      </w:r>
      <w:r>
        <w:rPr>
          <w:rFonts w:hint="eastAsia" w:asciiTheme="minorEastAsia" w:hAnsiTheme="minorEastAsia" w:eastAsiaTheme="minorEastAsia" w:cstheme="minorEastAsia"/>
          <w:color w:val="auto"/>
          <w:sz w:val="21"/>
          <w:szCs w:val="21"/>
          <w:lang w:eastAsia="zh-CN"/>
        </w:rPr>
        <w:t>所提需求。我院引入全自动检验流水线设备和检验设备，为实现了</w:t>
      </w:r>
      <w:r>
        <w:rPr>
          <w:rFonts w:hint="eastAsia" w:asciiTheme="minorEastAsia" w:hAnsiTheme="minorEastAsia" w:cstheme="minorEastAsia"/>
          <w:color w:val="auto"/>
          <w:sz w:val="21"/>
          <w:szCs w:val="21"/>
          <w:lang w:eastAsia="zh-CN"/>
        </w:rPr>
        <w:t>检验科</w:t>
      </w:r>
      <w:r>
        <w:rPr>
          <w:rFonts w:hint="eastAsia" w:asciiTheme="minorEastAsia" w:hAnsiTheme="minorEastAsia" w:eastAsiaTheme="minorEastAsia" w:cstheme="minorEastAsia"/>
          <w:color w:val="auto"/>
          <w:sz w:val="21"/>
          <w:szCs w:val="21"/>
          <w:lang w:eastAsia="zh-CN"/>
        </w:rPr>
        <w:t>样本前处理、检测、后处理的全流程自动化,</w:t>
      </w:r>
      <w:r>
        <w:rPr>
          <w:rFonts w:hint="eastAsia" w:asciiTheme="minorEastAsia" w:hAnsiTheme="minorEastAsia" w:cstheme="minorEastAsia"/>
          <w:color w:val="auto"/>
          <w:sz w:val="21"/>
          <w:szCs w:val="21"/>
          <w:lang w:eastAsia="zh-CN"/>
        </w:rPr>
        <w:t>同时</w:t>
      </w:r>
      <w:r>
        <w:rPr>
          <w:rFonts w:hint="eastAsia" w:asciiTheme="minorEastAsia" w:hAnsiTheme="minorEastAsia" w:eastAsiaTheme="minorEastAsia" w:cstheme="minorEastAsia"/>
          <w:color w:val="auto"/>
          <w:sz w:val="21"/>
          <w:szCs w:val="21"/>
          <w:lang w:eastAsia="zh-CN"/>
        </w:rPr>
        <w:t>规范医院检验流程，提升检验工作效率，保障检验数据的</w:t>
      </w:r>
      <w:r>
        <w:rPr>
          <w:rFonts w:hint="eastAsia" w:asciiTheme="minorEastAsia" w:hAnsiTheme="minorEastAsia" w:cstheme="minorEastAsia"/>
          <w:color w:val="auto"/>
          <w:sz w:val="21"/>
          <w:szCs w:val="21"/>
          <w:lang w:eastAsia="zh-CN"/>
        </w:rPr>
        <w:t>可追溯性、</w:t>
      </w:r>
      <w:r>
        <w:rPr>
          <w:rFonts w:hint="eastAsia" w:asciiTheme="minorEastAsia" w:hAnsiTheme="minorEastAsia" w:eastAsiaTheme="minorEastAsia" w:cstheme="minorEastAsia"/>
          <w:color w:val="auto"/>
          <w:sz w:val="21"/>
          <w:szCs w:val="21"/>
          <w:lang w:eastAsia="zh-CN"/>
        </w:rPr>
        <w:t>准确性、完整性和实时性，实现引入的新检验设备与医院</w:t>
      </w:r>
      <w:r>
        <w:rPr>
          <w:rFonts w:hint="eastAsia" w:asciiTheme="minorEastAsia" w:hAnsiTheme="minorEastAsia" w:cstheme="minorEastAsia"/>
          <w:color w:val="auto"/>
          <w:sz w:val="21"/>
          <w:szCs w:val="21"/>
          <w:lang w:eastAsia="zh-CN"/>
        </w:rPr>
        <w:t>检验</w:t>
      </w:r>
      <w:r>
        <w:rPr>
          <w:rFonts w:hint="eastAsia" w:asciiTheme="minorEastAsia" w:hAnsiTheme="minorEastAsia" w:eastAsiaTheme="minorEastAsia" w:cstheme="minorEastAsia"/>
          <w:color w:val="auto"/>
          <w:sz w:val="21"/>
          <w:szCs w:val="21"/>
          <w:lang w:eastAsia="zh-CN"/>
        </w:rPr>
        <w:t>系统（LIS）的无缝对接，打通检验数据流转壁垒，减少人工录入误差，降低医护人员工作强度，提升检验服务质量和患者就医体验，特开展本次对接项目。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三、建设内容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本项目旨在通过标准化接口开发与集成，实现检验科自动化流水线与LIS系统的双向、实时、安全的数据交互，达成以下目标：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lang w:eastAsia="zh-CN"/>
        </w:rPr>
        <w:t>全流程信息贯通：实现从检验申请、样本采集、流水线接收、检测执行、结果上传到报告审核的全流程信息化管理。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实现LIS系统与检验设备</w:t>
      </w:r>
      <w:r>
        <w:rPr>
          <w:rFonts w:hint="eastAsia" w:asciiTheme="minorEastAsia" w:hAnsiTheme="minorEastAsia" w:eastAsiaTheme="minorEastAsia" w:cstheme="minorEastAsia"/>
          <w:color w:val="auto"/>
          <w:kern w:val="0"/>
          <w:sz w:val="21"/>
          <w:szCs w:val="21"/>
          <w:lang w:eastAsia="zh-CN"/>
        </w:rPr>
        <w:t>双向通信能力：支持LIS向流水线发送检验申请（含患者信息、检验项目、优先级等），流水线自动接收并执行；检测结果、质控数据、样本状态（如“已接收”“检测中”“已完成”“异常”）实时回传至LIS。</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3.实现样本信息（患者基本信息、样本编号、检验项目等）在LIS系统与检验设备间的自动同步，无需人工重复录入，杜绝录入误差；</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4.实现检验设备完成检验后，检验结果自动回传至LIS系统，回传数据完整、准确，无丢失、错传现象，支持结果异常自动提醒；</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5.实现对接设备的运行状态、检验进度实时同步至LIS系统，便于信息中心及检验科人员实时监控设备运行情况，及时处理设备故障；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对接完成后，确保数据传输安全、稳定，符合医疗数据安全相关规定，保障患者隐私及检验数据的保密性、完整性；</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lang w:eastAsia="zh-CN"/>
        </w:rPr>
        <w:t>统一数据标准：采用国际通用医疗信息交换标准（如HL7 v2.x、ASTM、IHE-LAB等），确保系统间互操作性。</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210" w:firstLineChars="100"/>
        <w:jc w:val="both"/>
        <w:textAlignment w:val="auto"/>
        <w:rPr>
          <w:rFonts w:hint="eastAsia" w:asciiTheme="minorEastAsia" w:hAnsiTheme="minorEastAsia" w:eastAsiaTheme="minorEastAsia" w:cstheme="minorEastAsia"/>
          <w:b w:val="0"/>
          <w:bCs/>
          <w:sz w:val="21"/>
          <w:szCs w:val="21"/>
          <w:lang w:eastAsia="zh-CN"/>
        </w:rPr>
      </w:pPr>
      <w:r>
        <w:rPr>
          <w:rFonts w:hint="eastAsia" w:asciiTheme="minorEastAsia" w:hAnsiTheme="minorEastAsia" w:cstheme="minorEastAsia"/>
          <w:b w:val="0"/>
          <w:bCs/>
          <w:sz w:val="21"/>
          <w:szCs w:val="21"/>
          <w:lang w:val="en-US" w:eastAsia="zh-CN"/>
        </w:rPr>
        <w:t>★8.需要对接的</w:t>
      </w:r>
      <w:r>
        <w:rPr>
          <w:rFonts w:hint="eastAsia" w:asciiTheme="minorEastAsia" w:hAnsiTheme="minorEastAsia" w:eastAsiaTheme="minorEastAsia" w:cstheme="minorEastAsia"/>
          <w:b w:val="0"/>
          <w:bCs/>
          <w:sz w:val="21"/>
          <w:szCs w:val="21"/>
          <w:lang w:eastAsia="zh-CN"/>
        </w:rPr>
        <w:t>设备</w:t>
      </w:r>
      <w:r>
        <w:rPr>
          <w:rFonts w:hint="eastAsia" w:asciiTheme="minorEastAsia" w:hAnsiTheme="minorEastAsia" w:cstheme="minorEastAsia"/>
          <w:b w:val="0"/>
          <w:bCs/>
          <w:sz w:val="21"/>
          <w:szCs w:val="21"/>
          <w:lang w:eastAsia="zh-CN"/>
        </w:rPr>
        <w:t>列表</w:t>
      </w:r>
      <w:r>
        <w:rPr>
          <w:rFonts w:hint="eastAsia" w:asciiTheme="minorEastAsia" w:hAnsiTheme="minorEastAsia" w:eastAsiaTheme="minorEastAsia" w:cstheme="minorEastAsia"/>
          <w:b w:val="0"/>
          <w:bCs/>
          <w:sz w:val="21"/>
          <w:szCs w:val="21"/>
          <w:lang w:eastAsia="zh-CN"/>
        </w:rPr>
        <w:t>及描述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660"/>
        <w:gridCol w:w="1950"/>
        <w:gridCol w:w="975"/>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4"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仪器名称</w:t>
            </w:r>
          </w:p>
        </w:tc>
        <w:tc>
          <w:tcPr>
            <w:tcW w:w="6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品牌</w:t>
            </w: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型号</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数量</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全自动样品处理系统</w:t>
            </w:r>
          </w:p>
        </w:tc>
        <w:tc>
          <w:tcPr>
            <w:tcW w:w="6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迈瑞</w:t>
            </w: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MT8000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进出样(含混匀)棋块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全自动样品处理系统</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迈瑞</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MT8000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倾倒式进样模块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全自动样品处理系统</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迈瑞</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MT8000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离心模块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全自动样品处理系统</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迈瑞</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MT8000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去盖模块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全自动样品处理系统</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迈瑞</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MT8000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1套</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轨道系统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全自动样品处理系统</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迈瑞</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MT8000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1套</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数据管理系统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全自动样品处理系统</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迈瑞</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MT8000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1套</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必配附件包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全自动生化分析仪</w:t>
            </w:r>
          </w:p>
        </w:tc>
        <w:tc>
          <w:tcPr>
            <w:tcW w:w="6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迈瑞</w:t>
            </w: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BS-2800M</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临床生化项目检测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全自动化学发光免疫仪</w:t>
            </w:r>
          </w:p>
        </w:tc>
        <w:tc>
          <w:tcPr>
            <w:tcW w:w="6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迈瑞</w:t>
            </w: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CL-8000i</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临床免疫发光项目检测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全自动凝血分析仪</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迈瑞</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CX6000</w:t>
            </w: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临床凝血检测项目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全自动凝血分析仪</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迈瑞</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CX9000</w:t>
            </w: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临床凝血检测项目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全自动化学发光免疫分析仪</w:t>
            </w:r>
          </w:p>
        </w:tc>
        <w:tc>
          <w:tcPr>
            <w:tcW w:w="6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贝克曼</w:t>
            </w:r>
          </w:p>
        </w:tc>
        <w:tc>
          <w:tcPr>
            <w:tcW w:w="19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UniCel 800 DxI Access Immunoass ay System</w:t>
            </w: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临床免疫发光项目检测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全自动妇科分泌物分析系统</w:t>
            </w:r>
          </w:p>
        </w:tc>
        <w:tc>
          <w:tcPr>
            <w:tcW w:w="6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迪瑞医疗</w:t>
            </w: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GMD-S600</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妇科分泌物分析项目检测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罗氏POCT 1-cobas h 232</w:t>
            </w:r>
          </w:p>
        </w:tc>
        <w:tc>
          <w:tcPr>
            <w:tcW w:w="6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罗氏</w:t>
            </w: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罗氏POCT 1-cobas h 232</w:t>
            </w:r>
            <w:r>
              <w:rPr>
                <w:rFonts w:hint="eastAsia" w:asciiTheme="minorEastAsia" w:hAnsiTheme="minorEastAsia" w:cstheme="minorEastAsia"/>
                <w:sz w:val="21"/>
                <w:szCs w:val="21"/>
                <w:vertAlign w:val="baseline"/>
                <w:lang w:val="en-US" w:eastAsia="zh-CN"/>
              </w:rPr>
              <w:t>(单向)</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急诊科仪器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罗氏POCT 2-cobas h 232</w:t>
            </w:r>
          </w:p>
        </w:tc>
        <w:tc>
          <w:tcPr>
            <w:tcW w:w="66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罗氏</w:t>
            </w:r>
          </w:p>
        </w:tc>
        <w:tc>
          <w:tcPr>
            <w:tcW w:w="1950"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罗氏POCT 2-cobas h 232</w:t>
            </w:r>
            <w:r>
              <w:rPr>
                <w:rFonts w:hint="eastAsia" w:asciiTheme="minorEastAsia" w:hAnsiTheme="minorEastAsia" w:cstheme="minorEastAsia"/>
                <w:sz w:val="21"/>
                <w:szCs w:val="21"/>
                <w:vertAlign w:val="baseline"/>
                <w:lang w:val="en-US" w:eastAsia="zh-CN"/>
              </w:rPr>
              <w:t>（单向）</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1台</w:t>
            </w:r>
          </w:p>
        </w:tc>
        <w:tc>
          <w:tcPr>
            <w:tcW w:w="2451" w:type="dxa"/>
          </w:tcPr>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急诊科仪器</w:t>
            </w:r>
          </w:p>
        </w:tc>
      </w:tr>
    </w:tbl>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b/>
          <w:color w:val="auto"/>
          <w:sz w:val="21"/>
          <w:szCs w:val="21"/>
          <w:lang w:val="en-US" w:eastAsia="zh-CN"/>
        </w:rPr>
      </w:pPr>
      <w:bookmarkStart w:id="3" w:name="heading_4"/>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lang w:val="en-US" w:eastAsia="zh-CN"/>
        </w:rPr>
        <w:t>、</w:t>
      </w:r>
      <w:r>
        <w:rPr>
          <w:rFonts w:hint="eastAsia" w:asciiTheme="minorEastAsia" w:hAnsiTheme="minorEastAsia" w:eastAsiaTheme="minorEastAsia" w:cstheme="minorEastAsia"/>
          <w:b/>
          <w:color w:val="auto"/>
          <w:sz w:val="21"/>
          <w:szCs w:val="21"/>
        </w:rPr>
        <w:t>系统升级与接口维护功能</w:t>
      </w:r>
      <w:bookmarkEnd w:id="3"/>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color w:val="auto"/>
          <w:sz w:val="21"/>
          <w:szCs w:val="21"/>
          <w:lang w:val="en-US" w:eastAsia="zh-CN"/>
        </w:rPr>
      </w:pPr>
      <w:bookmarkStart w:id="4" w:name="heading_6"/>
      <w:r>
        <w:rPr>
          <w:rFonts w:hint="eastAsia" w:asciiTheme="minorEastAsia" w:hAnsiTheme="minorEastAsia" w:eastAsiaTheme="minorEastAsia" w:cstheme="minorEastAsia"/>
          <w:color w:val="auto"/>
          <w:sz w:val="21"/>
          <w:szCs w:val="21"/>
          <w:lang w:val="en-US" w:eastAsia="zh-CN"/>
        </w:rPr>
        <w:t>1.接口开发：根据医院现有LIS系统接口规范及各检验设备的通讯协议，开发专用对接接口，确保接口兼容性、稳定性和安全性，支持数据双向传输，接口开发符合医疗信息化相关标准。</w:t>
      </w:r>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接口调试：完成接口开发后，对每台设备进行单独调试，测试医嘱下发、样本同步、结果回传、状态监控等功能的准确性和流畅性；进行多设备联合调试，确保多设备同时运行时数据传输无冲突、无延迟；针对调试过程中出现的问题及时优化调整，直至所有功能达到项目要求。</w:t>
      </w:r>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outlineLvl w:val="1"/>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b/>
          <w:color w:val="auto"/>
          <w:sz w:val="21"/>
          <w:szCs w:val="21"/>
          <w:lang w:val="en-US" w:eastAsia="zh-CN"/>
        </w:rPr>
        <w:t>五</w:t>
      </w:r>
      <w:r>
        <w:rPr>
          <w:rFonts w:hint="eastAsia" w:asciiTheme="minorEastAsia" w:hAnsiTheme="minorEastAsia" w:eastAsiaTheme="minorEastAsia" w:cstheme="minorEastAsia"/>
          <w:b/>
          <w:color w:val="auto"/>
          <w:sz w:val="21"/>
          <w:szCs w:val="21"/>
          <w:lang w:val="en-US" w:eastAsia="zh-CN"/>
        </w:rPr>
        <w:t>、</w:t>
      </w:r>
      <w:r>
        <w:rPr>
          <w:rFonts w:hint="eastAsia" w:asciiTheme="minorEastAsia" w:hAnsiTheme="minorEastAsia" w:eastAsiaTheme="minorEastAsia" w:cstheme="minorEastAsia"/>
          <w:b/>
          <w:color w:val="auto"/>
          <w:sz w:val="21"/>
          <w:szCs w:val="21"/>
        </w:rPr>
        <w:t>数据安全与合规保障功能</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安全防护功能：落实数据加密、访问控制、防篡改等安全措施，保障患者隐私数据、医疗核心数据安全，符合《个人信息保护法》《医疗卫生机构网络安全管理办法》要求。</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合规保障功能：确保系统运行、数据处理、统计上报等环节符合国家及广东省管理</w:t>
      </w:r>
      <w:r>
        <w:rPr>
          <w:rFonts w:hint="eastAsia" w:asciiTheme="minorEastAsia" w:hAnsiTheme="minorEastAsia" w:eastAsiaTheme="minorEastAsia" w:cstheme="minorEastAsia"/>
          <w:color w:val="auto"/>
          <w:sz w:val="21"/>
          <w:szCs w:val="21"/>
          <w:lang w:eastAsia="zh-CN"/>
        </w:rPr>
        <w:t>及</w:t>
      </w:r>
      <w:r>
        <w:rPr>
          <w:rFonts w:hint="eastAsia" w:asciiTheme="minorEastAsia" w:hAnsiTheme="minorEastAsia" w:eastAsiaTheme="minorEastAsia" w:cstheme="minorEastAsia"/>
          <w:color w:val="auto"/>
          <w:sz w:val="21"/>
          <w:szCs w:val="21"/>
        </w:rPr>
        <w:t>相关法规政策，避免因系统不合规导致的监管通报、处罚等风险。</w:t>
      </w:r>
    </w:p>
    <w:p>
      <w:pPr>
        <w:keepNext w:val="0"/>
        <w:keepLines w:val="0"/>
        <w:pageBreakBefore w:val="0"/>
        <w:widowControl w:val="0"/>
        <w:numPr>
          <w:ilvl w:val="-1"/>
          <w:numId w:val="0"/>
        </w:numPr>
        <w:kinsoku/>
        <w:wordWrap/>
        <w:overflowPunct/>
        <w:topLinePunct w:val="0"/>
        <w:autoSpaceDE/>
        <w:autoSpaceDN/>
        <w:bidi w:val="0"/>
        <w:adjustRightInd/>
        <w:snapToGrid/>
        <w:spacing w:before="120" w:after="120" w:line="360" w:lineRule="auto"/>
        <w:ind w:left="0"/>
        <w:jc w:val="left"/>
        <w:textAlignment w:val="auto"/>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color w:val="auto"/>
          <w:sz w:val="21"/>
          <w:szCs w:val="21"/>
          <w:shd w:val="clear" w:color="auto" w:fill="auto"/>
          <w:lang w:val="en-US" w:eastAsia="zh-CN"/>
        </w:rPr>
        <w:t>3.</w:t>
      </w:r>
      <w:r>
        <w:rPr>
          <w:rFonts w:hint="eastAsia" w:asciiTheme="minorEastAsia" w:hAnsiTheme="minorEastAsia" w:eastAsiaTheme="minorEastAsia" w:cstheme="minorEastAsia"/>
          <w:sz w:val="21"/>
          <w:szCs w:val="21"/>
          <w:shd w:val="clear" w:color="auto" w:fill="auto"/>
        </w:rPr>
        <w:t>数据规范：对接后的数据需符合医院LIS系统数据标准，确保检验数据（患者信息、检验项目、检验结果、检测时间等）格式统一、完整，可与HIS系统、EMR系统实现数据互通，支持检验结果互认相关数据规范要求。</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auto"/>
          <w:sz w:val="21"/>
          <w:szCs w:val="21"/>
        </w:rPr>
      </w:pPr>
    </w:p>
    <w:bookmarkEnd w:id="2"/>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1"/>
          <w:szCs w:val="21"/>
        </w:rPr>
      </w:pPr>
      <w:bookmarkStart w:id="5" w:name="_Toc847"/>
      <w:r>
        <w:rPr>
          <w:rFonts w:hint="eastAsia" w:asciiTheme="minorEastAsia" w:hAnsiTheme="minorEastAsia" w:cstheme="minorEastAsia"/>
          <w:b/>
          <w:color w:val="auto"/>
          <w:sz w:val="21"/>
          <w:szCs w:val="21"/>
          <w:lang w:eastAsia="zh-CN"/>
        </w:rPr>
        <w:t>六</w:t>
      </w:r>
      <w:r>
        <w:rPr>
          <w:rFonts w:hint="eastAsia" w:asciiTheme="minorEastAsia" w:hAnsiTheme="minorEastAsia" w:eastAsiaTheme="minorEastAsia" w:cstheme="minorEastAsia"/>
          <w:b/>
          <w:color w:val="auto"/>
          <w:sz w:val="21"/>
          <w:szCs w:val="21"/>
        </w:rPr>
        <w:t>、项目商务要求</w:t>
      </w:r>
      <w:bookmarkEnd w:id="5"/>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1．供货要求：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cstheme="minorEastAsia"/>
          <w:sz w:val="21"/>
          <w:szCs w:val="21"/>
          <w:lang w:val="en-US" w:eastAsia="zh-CN"/>
        </w:rPr>
        <w:t>1.1</w:t>
      </w:r>
      <w:r>
        <w:rPr>
          <w:rFonts w:hint="eastAsia" w:asciiTheme="minorEastAsia" w:hAnsiTheme="minorEastAsia" w:eastAsiaTheme="minorEastAsia" w:cstheme="minorEastAsia"/>
          <w:sz w:val="21"/>
          <w:szCs w:val="21"/>
        </w:rPr>
        <w:t>投标人必须承诺提供生产厂商原装、全新的、符合国家及用户提出的有关质量标准的产品，并按招标文件要求附带相关的合法生产厂商证明文件。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1.2</w:t>
      </w:r>
      <w:r>
        <w:rPr>
          <w:rFonts w:hint="eastAsia" w:asciiTheme="minorEastAsia" w:hAnsiTheme="minorEastAsia" w:eastAsiaTheme="minorEastAsia" w:cstheme="minorEastAsia"/>
          <w:sz w:val="21"/>
          <w:szCs w:val="21"/>
        </w:rPr>
        <w:t>投标人必须承诺所提供产品符合国家或行业标准，以及用户提出的有关应用需求，且不存在第三方侵权行为。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2．工期要求：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合同签订之日起60个工作日内完成软件系统功能安装与调试，并完成对使用单位相关人员的操作与使用培训。</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3．交货地点：</w:t>
      </w:r>
      <w:r>
        <w:rPr>
          <w:rFonts w:hint="eastAsia" w:asciiTheme="minorEastAsia" w:hAnsiTheme="minorEastAsia" w:eastAsiaTheme="minorEastAsia" w:cstheme="minorEastAsia"/>
          <w:sz w:val="21"/>
          <w:szCs w:val="21"/>
        </w:rPr>
        <w:t>惠州市中大惠亚医院</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4．验收要求：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4.1项目完工后试用30个工作日，采购人应组织验收工作，按以下标准进行验收，所有指标达标后方可视为验收合格：</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4.2所有指定检验设备均完成与LIS系统对接，实现医嘱下发、样本同步、结果回传、状态监控等核心功能；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4.3数据传输准确，无丢失、错传、延迟现象，检验结果回传准确率100%，样本信息同步准确率100%；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4.4设备与LIS系统运行稳定，连续72小时无故障运行，接口响应时间≤3秒；</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4.5数据格式符合医院LIS系统标准，可与HIS系统、EMR系统正常数据互通；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4.6完成人员培训，相关人员能够熟练操作对接系统及设备；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w:t>
      </w:r>
      <w:r>
        <w:rPr>
          <w:rFonts w:hint="eastAsia" w:asciiTheme="minorEastAsia" w:hAnsiTheme="minorEastAsia" w:cstheme="minorEastAsia"/>
          <w:b/>
          <w:sz w:val="21"/>
          <w:szCs w:val="21"/>
          <w:lang w:eastAsia="zh-CN"/>
        </w:rPr>
        <w:t>服务</w:t>
      </w:r>
      <w:r>
        <w:rPr>
          <w:rFonts w:hint="eastAsia" w:asciiTheme="minorEastAsia" w:hAnsiTheme="minorEastAsia" w:eastAsiaTheme="minorEastAsia" w:cstheme="minorEastAsia"/>
          <w:b/>
          <w:sz w:val="21"/>
          <w:szCs w:val="21"/>
        </w:rPr>
        <w:t>响应时间：</w:t>
      </w:r>
      <w:r>
        <w:rPr>
          <w:rFonts w:hint="eastAsia" w:asciiTheme="minorEastAsia" w:hAnsiTheme="minorEastAsia" w:eastAsiaTheme="minorEastAsia" w:cstheme="minorEastAsia"/>
          <w:sz w:val="21"/>
          <w:szCs w:val="21"/>
        </w:rPr>
        <w:t>系统上线期间,需派三年以上工作经验工程师驻场保障,实时响应。系统上线完成后,需提供7×24小时电话/远程技术支持，若电话/远程中无法解决，2小时内到达现场进行维护。除特殊情况外，故障排除时间不超过24小时。每个月提供工程师上门巡访的服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6．售后服务要求：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6.1</w:t>
      </w:r>
      <w:r>
        <w:rPr>
          <w:rFonts w:hint="eastAsia" w:asciiTheme="minorEastAsia" w:hAnsiTheme="minorEastAsia" w:eastAsiaTheme="minorEastAsia" w:cstheme="minorEastAsia"/>
          <w:sz w:val="21"/>
          <w:szCs w:val="21"/>
        </w:rPr>
        <w:t>质保期期限：软件系统自验收之日起，免费质保期1年。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6.2</w:t>
      </w:r>
      <w:r>
        <w:rPr>
          <w:rFonts w:hint="eastAsia" w:asciiTheme="minorEastAsia" w:hAnsiTheme="minorEastAsia" w:eastAsiaTheme="minorEastAsia" w:cstheme="minorEastAsia"/>
          <w:sz w:val="21"/>
          <w:szCs w:val="21"/>
        </w:rPr>
        <w:t>质保期自双方代表在系统交付运行后的验收证明文件上签字之日起计算，保修费用已计入总价，并以书面形式承诺。成交人提供免费部件、人力。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6.3</w:t>
      </w:r>
      <w:r>
        <w:rPr>
          <w:rFonts w:hint="eastAsia" w:asciiTheme="minorEastAsia" w:hAnsiTheme="minorEastAsia" w:eastAsiaTheme="minorEastAsia" w:cstheme="minorEastAsia"/>
          <w:sz w:val="21"/>
          <w:szCs w:val="21"/>
        </w:rPr>
        <w:t>质保期内，服务单位需按医院相关要求配合完善软件功能调整任务。要求服务单位具有快速到达现场维护、应急抢修的能力，应对现场维护、应急抢修措施等情况。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6.4</w:t>
      </w:r>
      <w:r>
        <w:rPr>
          <w:rFonts w:hint="eastAsia" w:asciiTheme="minorEastAsia" w:hAnsiTheme="minorEastAsia" w:eastAsiaTheme="minorEastAsia" w:cstheme="minorEastAsia"/>
          <w:sz w:val="21"/>
          <w:szCs w:val="21"/>
        </w:rPr>
        <w:t>根据医院业务发展的需要，向医院提供升级版本。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7．培训要求：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7.1</w:t>
      </w:r>
      <w:r>
        <w:rPr>
          <w:rFonts w:hint="eastAsia" w:asciiTheme="minorEastAsia" w:hAnsiTheme="minorEastAsia" w:eastAsiaTheme="minorEastAsia" w:cstheme="minorEastAsia"/>
          <w:sz w:val="21"/>
          <w:szCs w:val="21"/>
        </w:rPr>
        <w:t>制定详细的培训方案，提供技术培训、操作培训和现场指导，完成对开发技术及工具等在内的全部免费培训。培训方案要详细描述培训的具体内容和时间安排。</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7.2</w:t>
      </w:r>
      <w:r>
        <w:rPr>
          <w:rFonts w:hint="eastAsia" w:asciiTheme="minorEastAsia" w:hAnsiTheme="minorEastAsia" w:eastAsiaTheme="minorEastAsia" w:cstheme="minorEastAsia"/>
          <w:sz w:val="21"/>
          <w:szCs w:val="21"/>
        </w:rPr>
        <w:t>培训方式应包括技术讲课、操作示范、参观学习和其它必须的业务指导和技术咨询，确保培训人员对系统基本原理、技术特性、操作规范、运行规程、管理维护等方面获得全面了解和掌握。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8．报价要求：</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8.1</w:t>
      </w:r>
      <w:r>
        <w:rPr>
          <w:rFonts w:hint="eastAsia" w:asciiTheme="minorEastAsia" w:hAnsiTheme="minorEastAsia" w:eastAsiaTheme="minorEastAsia" w:cstheme="minorEastAsia"/>
          <w:sz w:val="21"/>
          <w:szCs w:val="21"/>
        </w:rPr>
        <w:t>投标人报价中必须包括项目全部内容的费用（包括安装配件、安装组件、吊装、配送、安装调试、培训、相关法律规定的必须的检验、验收、税金等），费用不管是否在投标人报价书中单列，均视为投标总价中已包括该费用。</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8.2 </w:t>
      </w:r>
      <w:r>
        <w:rPr>
          <w:rFonts w:hint="eastAsia" w:asciiTheme="minorEastAsia" w:hAnsiTheme="minorEastAsia" w:eastAsiaTheme="minorEastAsia" w:cstheme="minorEastAsia"/>
          <w:sz w:val="21"/>
          <w:szCs w:val="21"/>
        </w:rPr>
        <w:t>若投标人所投报价比本项目最高限价低25%（含25%）以上的，投标人应对其报价是否低于成本价进行说明，并提供相关证明材料，若投标人未提供证明材料进行说明或提供的证明材料不能充分说明其报价不低于成本价的,或有可能影响产品质量或者不能诚信履约的，评标委员会有权否决其投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9．付款方式：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bookmarkStart w:id="6" w:name="_Hlk508984413"/>
      <w:r>
        <w:rPr>
          <w:rFonts w:hint="eastAsia" w:asciiTheme="minorEastAsia" w:hAnsiTheme="minorEastAsia" w:cstheme="minorEastAsia"/>
          <w:sz w:val="21"/>
          <w:szCs w:val="21"/>
          <w:lang w:val="en-US" w:eastAsia="zh-CN"/>
        </w:rPr>
        <w:t>9.1</w:t>
      </w:r>
      <w:r>
        <w:rPr>
          <w:rFonts w:hint="eastAsia" w:asciiTheme="minorEastAsia" w:hAnsiTheme="minorEastAsia" w:eastAsiaTheme="minorEastAsia" w:cstheme="minorEastAsia"/>
          <w:sz w:val="21"/>
          <w:szCs w:val="21"/>
        </w:rPr>
        <w:t>合同签订后，</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rPr>
        <w:t>个工作日内，采购人向中标人支付合同价的30%；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9.2</w:t>
      </w:r>
      <w:r>
        <w:rPr>
          <w:rFonts w:hint="eastAsia" w:asciiTheme="minorEastAsia" w:hAnsiTheme="minorEastAsia" w:eastAsiaTheme="minorEastAsia" w:cstheme="minorEastAsia"/>
          <w:sz w:val="21"/>
          <w:szCs w:val="21"/>
        </w:rPr>
        <w:t>软硬件到货、签收、安装、调试完毕，试运行、经验收合格后10个工作日内，采购人向中标人支付合同价的70%</w:t>
      </w:r>
      <w:bookmarkEnd w:id="6"/>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9.3</w:t>
      </w:r>
      <w:r>
        <w:rPr>
          <w:rFonts w:hint="eastAsia" w:asciiTheme="minorEastAsia" w:hAnsiTheme="minorEastAsia" w:eastAsiaTheme="minorEastAsia" w:cstheme="minorEastAsia"/>
          <w:sz w:val="21"/>
          <w:szCs w:val="21"/>
        </w:rPr>
        <w:t>合同签订后，5个工作日内中标人向采购人支付合同总价的5%作为履约保证金，待1年维护服务期结束后无息退还。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FF0000"/>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F1297"/>
    <w:multiLevelType w:val="multilevel"/>
    <w:tmpl w:val="34DF1297"/>
    <w:lvl w:ilvl="0" w:tentative="0">
      <w:start w:val="1"/>
      <w:numFmt w:val="decimal"/>
      <w:pStyle w:val="6"/>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suff w:val="space"/>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
    <w:nsid w:val="4B617F8A"/>
    <w:multiLevelType w:val="multilevel"/>
    <w:tmpl w:val="4B617F8A"/>
    <w:lvl w:ilvl="0" w:tentative="0">
      <w:start w:val="1"/>
      <w:numFmt w:val="decimal"/>
      <w:pStyle w:val="3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A4248CD"/>
    <w:multiLevelType w:val="multilevel"/>
    <w:tmpl w:val="5A4248CD"/>
    <w:lvl w:ilvl="0" w:tentative="0">
      <w:start w:val="1"/>
      <w:numFmt w:val="chineseCountingThousand"/>
      <w:pStyle w:val="2"/>
      <w:lvlText w:val="第%1章 "/>
      <w:lvlJc w:val="left"/>
      <w:pPr>
        <w:tabs>
          <w:tab w:val="left" w:pos="567"/>
        </w:tabs>
        <w:ind w:left="0" w:firstLine="0"/>
      </w:pPr>
      <w:rPr>
        <w:rFonts w:hint="default" w:ascii="Times New Roman" w:hAnsi="Times New Roman" w:eastAsia="宋体" w:cs="Times New Roman"/>
      </w:rPr>
    </w:lvl>
    <w:lvl w:ilvl="1" w:tentative="0">
      <w:start w:val="1"/>
      <w:numFmt w:val="decimal"/>
      <w:lvlRestart w:val="0"/>
      <w:pStyle w:val="3"/>
      <w:isLgl/>
      <w:suff w:val="space"/>
      <w:lvlText w:val="%1.%2"/>
      <w:lvlJc w:val="left"/>
      <w:pPr>
        <w:ind w:left="0" w:firstLine="0"/>
      </w:pPr>
      <w:rPr>
        <w:rFonts w:hint="default" w:ascii="Times New Roman" w:hAnsi="Times New Roman" w:eastAsia="宋体"/>
        <w:sz w:val="32"/>
        <w:szCs w:val="32"/>
      </w:rPr>
    </w:lvl>
    <w:lvl w:ilvl="2" w:tentative="0">
      <w:start w:val="1"/>
      <w:numFmt w:val="decimal"/>
      <w:pStyle w:val="4"/>
      <w:isLgl/>
      <w:suff w:val="space"/>
      <w:lvlText w:val="%1.%2.%3"/>
      <w:lvlJc w:val="left"/>
      <w:pPr>
        <w:ind w:left="0" w:firstLine="0"/>
      </w:pPr>
      <w:rPr>
        <w:rFonts w:hint="default" w:ascii="Times New Roman" w:hAnsi="Times New Roman" w:eastAsia="宋体" w:cs="宋体"/>
        <w:sz w:val="30"/>
        <w:szCs w:val="30"/>
      </w:rPr>
    </w:lvl>
    <w:lvl w:ilvl="3" w:tentative="0">
      <w:start w:val="1"/>
      <w:numFmt w:val="decimal"/>
      <w:pStyle w:val="5"/>
      <w:isLgl/>
      <w:suff w:val="space"/>
      <w:lvlText w:val="%1.%2.%3.%4"/>
      <w:lvlJc w:val="left"/>
      <w:pPr>
        <w:ind w:left="17" w:hanging="17"/>
      </w:pPr>
      <w:rPr>
        <w:rFonts w:hint="default" w:ascii="宋体" w:hAnsi="宋体" w:eastAsia="宋体" w:cs="宋体"/>
        <w:sz w:val="24"/>
      </w:rPr>
    </w:lvl>
    <w:lvl w:ilvl="4" w:tentative="0">
      <w:start w:val="1"/>
      <w:numFmt w:val="decimal"/>
      <w:lvlText w:val="%5)"/>
      <w:lvlJc w:val="left"/>
      <w:pPr>
        <w:tabs>
          <w:tab w:val="left" w:pos="1008"/>
        </w:tabs>
        <w:ind w:left="1008" w:hanging="432"/>
      </w:pPr>
      <w:rPr>
        <w:rFonts w:hint="eastAsia"/>
      </w:rPr>
    </w:lvl>
    <w:lvl w:ilvl="5" w:tentative="0">
      <w:start w:val="1"/>
      <w:numFmt w:val="lowerLetter"/>
      <w:pStyle w:val="7"/>
      <w:lvlText w:val="%6)"/>
      <w:lvlJc w:val="left"/>
      <w:pPr>
        <w:tabs>
          <w:tab w:val="left" w:pos="1152"/>
        </w:tabs>
        <w:ind w:left="1152" w:hanging="432"/>
      </w:pPr>
      <w:rPr>
        <w:rFonts w:hint="eastAsia"/>
      </w:rPr>
    </w:lvl>
    <w:lvl w:ilvl="6" w:tentative="0">
      <w:start w:val="1"/>
      <w:numFmt w:val="lowerRoman"/>
      <w:pStyle w:val="8"/>
      <w:lvlText w:val="%7)"/>
      <w:lvlJc w:val="right"/>
      <w:pPr>
        <w:tabs>
          <w:tab w:val="left" w:pos="1296"/>
        </w:tabs>
        <w:ind w:left="1296" w:hanging="288"/>
      </w:pPr>
      <w:rPr>
        <w:rFonts w:hint="eastAsia"/>
      </w:rPr>
    </w:lvl>
    <w:lvl w:ilvl="7" w:tentative="0">
      <w:start w:val="1"/>
      <w:numFmt w:val="lowerLetter"/>
      <w:pStyle w:val="9"/>
      <w:lvlText w:val="%8."/>
      <w:lvlJc w:val="left"/>
      <w:pPr>
        <w:tabs>
          <w:tab w:val="left" w:pos="1440"/>
        </w:tabs>
        <w:ind w:left="1440" w:hanging="432"/>
      </w:pPr>
      <w:rPr>
        <w:rFonts w:hint="eastAsia"/>
      </w:rPr>
    </w:lvl>
    <w:lvl w:ilvl="8" w:tentative="0">
      <w:start w:val="1"/>
      <w:numFmt w:val="lowerRoman"/>
      <w:pStyle w:val="10"/>
      <w:lvlText w:val="%9."/>
      <w:lvlJc w:val="right"/>
      <w:pPr>
        <w:tabs>
          <w:tab w:val="left" w:pos="1584"/>
        </w:tabs>
        <w:ind w:left="1584" w:hanging="144"/>
      </w:pPr>
      <w:rPr>
        <w:rFonts w:hint="eastAsia"/>
      </w:rPr>
    </w:lvl>
  </w:abstractNum>
  <w:abstractNum w:abstractNumId="3">
    <w:nsid w:val="6FC22AB3"/>
    <w:multiLevelType w:val="multilevel"/>
    <w:tmpl w:val="6FC22AB3"/>
    <w:lvl w:ilvl="0" w:tentative="0">
      <w:start w:val="1"/>
      <w:numFmt w:val="decimal"/>
      <w:lvlText w:val="(%1)."/>
      <w:lvlJc w:val="left"/>
      <w:pPr>
        <w:tabs>
          <w:tab w:val="left" w:pos="425"/>
        </w:tabs>
        <w:ind w:left="425" w:hanging="425"/>
      </w:pPr>
      <w:rPr>
        <w:rFonts w:hint="default"/>
      </w:rPr>
    </w:lvl>
    <w:lvl w:ilvl="1" w:tentative="0">
      <w:start w:val="1"/>
      <w:numFmt w:val="decimal"/>
      <w:pStyle w:val="30"/>
      <w:suff w:val="space"/>
      <w:lvlText w:val="(%2)"/>
      <w:lvlJc w:val="left"/>
      <w:pPr>
        <w:tabs>
          <w:tab w:val="left" w:pos="420"/>
        </w:tabs>
        <w:ind w:left="0" w:firstLine="420"/>
      </w:pPr>
      <w:rPr>
        <w:rFonts w:hint="default" w:ascii="Times New Roman" w:hAnsi="Times New Roman" w:eastAsia="宋体" w:cs="Times New Roman"/>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CE5"/>
    <w:rsid w:val="00027B79"/>
    <w:rsid w:val="0004707F"/>
    <w:rsid w:val="0006437C"/>
    <w:rsid w:val="00064FE9"/>
    <w:rsid w:val="00087546"/>
    <w:rsid w:val="00092866"/>
    <w:rsid w:val="00095A3C"/>
    <w:rsid w:val="000A63C1"/>
    <w:rsid w:val="000B6617"/>
    <w:rsid w:val="000C20FD"/>
    <w:rsid w:val="000C30F1"/>
    <w:rsid w:val="000C50CB"/>
    <w:rsid w:val="000D273C"/>
    <w:rsid w:val="000D6551"/>
    <w:rsid w:val="000D6E94"/>
    <w:rsid w:val="000E0C7A"/>
    <w:rsid w:val="000E32ED"/>
    <w:rsid w:val="000E48C0"/>
    <w:rsid w:val="000E6A26"/>
    <w:rsid w:val="00104491"/>
    <w:rsid w:val="00106CE5"/>
    <w:rsid w:val="001102D3"/>
    <w:rsid w:val="00112E85"/>
    <w:rsid w:val="00113891"/>
    <w:rsid w:val="001152D3"/>
    <w:rsid w:val="00132A6F"/>
    <w:rsid w:val="001360D8"/>
    <w:rsid w:val="0014436B"/>
    <w:rsid w:val="0016023A"/>
    <w:rsid w:val="001877E1"/>
    <w:rsid w:val="001A50CD"/>
    <w:rsid w:val="001B4019"/>
    <w:rsid w:val="001C3ECC"/>
    <w:rsid w:val="001D02BE"/>
    <w:rsid w:val="001D6234"/>
    <w:rsid w:val="001E1DF0"/>
    <w:rsid w:val="00200E8C"/>
    <w:rsid w:val="00204858"/>
    <w:rsid w:val="00210D74"/>
    <w:rsid w:val="00222B5A"/>
    <w:rsid w:val="0023088A"/>
    <w:rsid w:val="00257E19"/>
    <w:rsid w:val="002702C9"/>
    <w:rsid w:val="002967BE"/>
    <w:rsid w:val="002A7B9C"/>
    <w:rsid w:val="002C3DFB"/>
    <w:rsid w:val="002C7D51"/>
    <w:rsid w:val="002D2578"/>
    <w:rsid w:val="002E5882"/>
    <w:rsid w:val="002E69EE"/>
    <w:rsid w:val="002E73EE"/>
    <w:rsid w:val="002E745D"/>
    <w:rsid w:val="002F25EB"/>
    <w:rsid w:val="00306B87"/>
    <w:rsid w:val="0030783C"/>
    <w:rsid w:val="00321B2F"/>
    <w:rsid w:val="003224FE"/>
    <w:rsid w:val="003254D8"/>
    <w:rsid w:val="00330CAD"/>
    <w:rsid w:val="00355076"/>
    <w:rsid w:val="00363D50"/>
    <w:rsid w:val="0036453C"/>
    <w:rsid w:val="003655C3"/>
    <w:rsid w:val="0038677A"/>
    <w:rsid w:val="00386DE5"/>
    <w:rsid w:val="003A29E7"/>
    <w:rsid w:val="003B1390"/>
    <w:rsid w:val="003B58C8"/>
    <w:rsid w:val="003C5FA9"/>
    <w:rsid w:val="003D728B"/>
    <w:rsid w:val="003F77C7"/>
    <w:rsid w:val="00402347"/>
    <w:rsid w:val="00413133"/>
    <w:rsid w:val="00425BE7"/>
    <w:rsid w:val="004459C8"/>
    <w:rsid w:val="00460030"/>
    <w:rsid w:val="00462736"/>
    <w:rsid w:val="00466D7D"/>
    <w:rsid w:val="0049219D"/>
    <w:rsid w:val="00492D0D"/>
    <w:rsid w:val="00496753"/>
    <w:rsid w:val="004A1FB5"/>
    <w:rsid w:val="004A357D"/>
    <w:rsid w:val="004A3738"/>
    <w:rsid w:val="004A71E4"/>
    <w:rsid w:val="004B0AC1"/>
    <w:rsid w:val="004D2091"/>
    <w:rsid w:val="004D327E"/>
    <w:rsid w:val="004E20B3"/>
    <w:rsid w:val="00500C99"/>
    <w:rsid w:val="005167D0"/>
    <w:rsid w:val="00532B3D"/>
    <w:rsid w:val="005341D7"/>
    <w:rsid w:val="00537C9B"/>
    <w:rsid w:val="005407D0"/>
    <w:rsid w:val="00540DD1"/>
    <w:rsid w:val="00560D53"/>
    <w:rsid w:val="00561490"/>
    <w:rsid w:val="005853A9"/>
    <w:rsid w:val="005866BC"/>
    <w:rsid w:val="00587034"/>
    <w:rsid w:val="00594CFC"/>
    <w:rsid w:val="005A5AAC"/>
    <w:rsid w:val="005C0DF8"/>
    <w:rsid w:val="005C1A5E"/>
    <w:rsid w:val="005D3AEE"/>
    <w:rsid w:val="005F1EA2"/>
    <w:rsid w:val="006133EA"/>
    <w:rsid w:val="006372BE"/>
    <w:rsid w:val="00655035"/>
    <w:rsid w:val="00657023"/>
    <w:rsid w:val="006603CF"/>
    <w:rsid w:val="00664392"/>
    <w:rsid w:val="00666E8A"/>
    <w:rsid w:val="00671D6B"/>
    <w:rsid w:val="00673C90"/>
    <w:rsid w:val="006827C6"/>
    <w:rsid w:val="00686CF2"/>
    <w:rsid w:val="006930A7"/>
    <w:rsid w:val="006A751E"/>
    <w:rsid w:val="006A7B44"/>
    <w:rsid w:val="006B2FBC"/>
    <w:rsid w:val="006E02B9"/>
    <w:rsid w:val="006F4D48"/>
    <w:rsid w:val="006F6BB5"/>
    <w:rsid w:val="007034EB"/>
    <w:rsid w:val="00703EFA"/>
    <w:rsid w:val="0070743A"/>
    <w:rsid w:val="0071022B"/>
    <w:rsid w:val="00710F12"/>
    <w:rsid w:val="00713DCC"/>
    <w:rsid w:val="007218C3"/>
    <w:rsid w:val="00723859"/>
    <w:rsid w:val="007342C0"/>
    <w:rsid w:val="007403DB"/>
    <w:rsid w:val="00740DF4"/>
    <w:rsid w:val="00740E86"/>
    <w:rsid w:val="00741EDA"/>
    <w:rsid w:val="00753D98"/>
    <w:rsid w:val="00754072"/>
    <w:rsid w:val="007542EA"/>
    <w:rsid w:val="007704B6"/>
    <w:rsid w:val="00773899"/>
    <w:rsid w:val="007741BE"/>
    <w:rsid w:val="0078404B"/>
    <w:rsid w:val="00786A83"/>
    <w:rsid w:val="00792BA6"/>
    <w:rsid w:val="007A1566"/>
    <w:rsid w:val="007A7E2B"/>
    <w:rsid w:val="007B12AA"/>
    <w:rsid w:val="007C2E76"/>
    <w:rsid w:val="007C7C96"/>
    <w:rsid w:val="007D37CC"/>
    <w:rsid w:val="007D4E96"/>
    <w:rsid w:val="007F08CD"/>
    <w:rsid w:val="007F0FEE"/>
    <w:rsid w:val="00803B29"/>
    <w:rsid w:val="008140C7"/>
    <w:rsid w:val="00816F48"/>
    <w:rsid w:val="00823DA4"/>
    <w:rsid w:val="00831D45"/>
    <w:rsid w:val="00846A81"/>
    <w:rsid w:val="008540FD"/>
    <w:rsid w:val="00865CB3"/>
    <w:rsid w:val="008703F7"/>
    <w:rsid w:val="008842BF"/>
    <w:rsid w:val="00890BEA"/>
    <w:rsid w:val="008A3E44"/>
    <w:rsid w:val="008B47A4"/>
    <w:rsid w:val="008B7C3E"/>
    <w:rsid w:val="008E1FCC"/>
    <w:rsid w:val="008F58AA"/>
    <w:rsid w:val="009245E5"/>
    <w:rsid w:val="0092487D"/>
    <w:rsid w:val="0092583B"/>
    <w:rsid w:val="00947F61"/>
    <w:rsid w:val="0096026E"/>
    <w:rsid w:val="009611D0"/>
    <w:rsid w:val="00964E9C"/>
    <w:rsid w:val="00972E7A"/>
    <w:rsid w:val="009978D3"/>
    <w:rsid w:val="009C2667"/>
    <w:rsid w:val="009C6A4F"/>
    <w:rsid w:val="009C7A0D"/>
    <w:rsid w:val="009D1FB0"/>
    <w:rsid w:val="009D60E1"/>
    <w:rsid w:val="009D7CCE"/>
    <w:rsid w:val="009E14B2"/>
    <w:rsid w:val="009F09A2"/>
    <w:rsid w:val="00A0368C"/>
    <w:rsid w:val="00A11842"/>
    <w:rsid w:val="00A12A27"/>
    <w:rsid w:val="00A137F3"/>
    <w:rsid w:val="00A17C97"/>
    <w:rsid w:val="00A3249B"/>
    <w:rsid w:val="00A372B4"/>
    <w:rsid w:val="00A53F68"/>
    <w:rsid w:val="00A84E69"/>
    <w:rsid w:val="00A86107"/>
    <w:rsid w:val="00A94CC9"/>
    <w:rsid w:val="00A97E25"/>
    <w:rsid w:val="00AA0B7E"/>
    <w:rsid w:val="00AA5A7E"/>
    <w:rsid w:val="00AB0809"/>
    <w:rsid w:val="00AB26BA"/>
    <w:rsid w:val="00AC61B9"/>
    <w:rsid w:val="00AC681E"/>
    <w:rsid w:val="00AD2B19"/>
    <w:rsid w:val="00AE7F92"/>
    <w:rsid w:val="00B01BD5"/>
    <w:rsid w:val="00B06057"/>
    <w:rsid w:val="00B068E0"/>
    <w:rsid w:val="00B1249A"/>
    <w:rsid w:val="00B161F8"/>
    <w:rsid w:val="00B23127"/>
    <w:rsid w:val="00B510FA"/>
    <w:rsid w:val="00B61629"/>
    <w:rsid w:val="00B7029A"/>
    <w:rsid w:val="00B715F8"/>
    <w:rsid w:val="00B721D6"/>
    <w:rsid w:val="00BA429C"/>
    <w:rsid w:val="00BD3F8B"/>
    <w:rsid w:val="00BF25B4"/>
    <w:rsid w:val="00BF579E"/>
    <w:rsid w:val="00C01D00"/>
    <w:rsid w:val="00C02028"/>
    <w:rsid w:val="00C06B0A"/>
    <w:rsid w:val="00C17CC4"/>
    <w:rsid w:val="00C22680"/>
    <w:rsid w:val="00C56A05"/>
    <w:rsid w:val="00C778CB"/>
    <w:rsid w:val="00C93A7D"/>
    <w:rsid w:val="00C940DF"/>
    <w:rsid w:val="00CB04F8"/>
    <w:rsid w:val="00CB22A3"/>
    <w:rsid w:val="00CB6523"/>
    <w:rsid w:val="00CC2905"/>
    <w:rsid w:val="00CC3E2C"/>
    <w:rsid w:val="00CC5F96"/>
    <w:rsid w:val="00CC6303"/>
    <w:rsid w:val="00CF00FA"/>
    <w:rsid w:val="00CF7A5B"/>
    <w:rsid w:val="00D0012D"/>
    <w:rsid w:val="00D17905"/>
    <w:rsid w:val="00D27026"/>
    <w:rsid w:val="00D37C8A"/>
    <w:rsid w:val="00D5048A"/>
    <w:rsid w:val="00D537C4"/>
    <w:rsid w:val="00D553AE"/>
    <w:rsid w:val="00D56AB3"/>
    <w:rsid w:val="00D64527"/>
    <w:rsid w:val="00D7397B"/>
    <w:rsid w:val="00D908D9"/>
    <w:rsid w:val="00D95E97"/>
    <w:rsid w:val="00D97D8E"/>
    <w:rsid w:val="00DA3C9C"/>
    <w:rsid w:val="00DC07BF"/>
    <w:rsid w:val="00DC428F"/>
    <w:rsid w:val="00DC76C0"/>
    <w:rsid w:val="00DD5905"/>
    <w:rsid w:val="00DE1328"/>
    <w:rsid w:val="00DE7A17"/>
    <w:rsid w:val="00DF2A88"/>
    <w:rsid w:val="00DF335E"/>
    <w:rsid w:val="00DF5E7D"/>
    <w:rsid w:val="00E012A0"/>
    <w:rsid w:val="00E01728"/>
    <w:rsid w:val="00E1765D"/>
    <w:rsid w:val="00E2372E"/>
    <w:rsid w:val="00E27B8E"/>
    <w:rsid w:val="00E37C88"/>
    <w:rsid w:val="00E47BB3"/>
    <w:rsid w:val="00E50F1E"/>
    <w:rsid w:val="00E520C2"/>
    <w:rsid w:val="00E53118"/>
    <w:rsid w:val="00E53281"/>
    <w:rsid w:val="00E537BD"/>
    <w:rsid w:val="00E809DF"/>
    <w:rsid w:val="00E85AA2"/>
    <w:rsid w:val="00E90B7E"/>
    <w:rsid w:val="00E93DD3"/>
    <w:rsid w:val="00EA7F4F"/>
    <w:rsid w:val="00EB5052"/>
    <w:rsid w:val="00EB64E4"/>
    <w:rsid w:val="00EC6B86"/>
    <w:rsid w:val="00EE205C"/>
    <w:rsid w:val="00F12886"/>
    <w:rsid w:val="00F13BBE"/>
    <w:rsid w:val="00F16D7F"/>
    <w:rsid w:val="00F20A2C"/>
    <w:rsid w:val="00F3179D"/>
    <w:rsid w:val="00F32B94"/>
    <w:rsid w:val="00F32F99"/>
    <w:rsid w:val="00F34251"/>
    <w:rsid w:val="00F37F19"/>
    <w:rsid w:val="00F4300E"/>
    <w:rsid w:val="00F54377"/>
    <w:rsid w:val="00F563A8"/>
    <w:rsid w:val="00F73B70"/>
    <w:rsid w:val="00F73E02"/>
    <w:rsid w:val="00F75F32"/>
    <w:rsid w:val="00F8228D"/>
    <w:rsid w:val="00F85418"/>
    <w:rsid w:val="00F91629"/>
    <w:rsid w:val="00F96AE7"/>
    <w:rsid w:val="00FB3905"/>
    <w:rsid w:val="00FC4CA1"/>
    <w:rsid w:val="00FD26ED"/>
    <w:rsid w:val="01ED479C"/>
    <w:rsid w:val="04581DE6"/>
    <w:rsid w:val="0AA94AB5"/>
    <w:rsid w:val="0D7B0380"/>
    <w:rsid w:val="0E1213B0"/>
    <w:rsid w:val="0E3D1748"/>
    <w:rsid w:val="0EC610C3"/>
    <w:rsid w:val="0ED33317"/>
    <w:rsid w:val="0F820DCB"/>
    <w:rsid w:val="12E5530C"/>
    <w:rsid w:val="134926D3"/>
    <w:rsid w:val="13CA183B"/>
    <w:rsid w:val="185467A5"/>
    <w:rsid w:val="191A26F2"/>
    <w:rsid w:val="1B854D52"/>
    <w:rsid w:val="1E366FB3"/>
    <w:rsid w:val="221E3CD2"/>
    <w:rsid w:val="232F0620"/>
    <w:rsid w:val="251C31B6"/>
    <w:rsid w:val="28053E0D"/>
    <w:rsid w:val="2DF22655"/>
    <w:rsid w:val="31B01624"/>
    <w:rsid w:val="32AC5F2C"/>
    <w:rsid w:val="341C3C1D"/>
    <w:rsid w:val="381545E5"/>
    <w:rsid w:val="39E64362"/>
    <w:rsid w:val="3A1E1BCB"/>
    <w:rsid w:val="3A7F4065"/>
    <w:rsid w:val="3DF95AA4"/>
    <w:rsid w:val="3F00085E"/>
    <w:rsid w:val="40BE364F"/>
    <w:rsid w:val="42BC523B"/>
    <w:rsid w:val="42E47DC7"/>
    <w:rsid w:val="43A92C8C"/>
    <w:rsid w:val="45117609"/>
    <w:rsid w:val="47965485"/>
    <w:rsid w:val="486662BF"/>
    <w:rsid w:val="486D2FBC"/>
    <w:rsid w:val="48DE2ED6"/>
    <w:rsid w:val="49327862"/>
    <w:rsid w:val="4B1E0897"/>
    <w:rsid w:val="4BD91577"/>
    <w:rsid w:val="56A30254"/>
    <w:rsid w:val="5CDB3081"/>
    <w:rsid w:val="5DE838DF"/>
    <w:rsid w:val="5F132262"/>
    <w:rsid w:val="60D91FA3"/>
    <w:rsid w:val="63437702"/>
    <w:rsid w:val="665A4069"/>
    <w:rsid w:val="67143E90"/>
    <w:rsid w:val="67C3777C"/>
    <w:rsid w:val="69323E53"/>
    <w:rsid w:val="70A061D3"/>
    <w:rsid w:val="713C7335"/>
    <w:rsid w:val="720C4C36"/>
    <w:rsid w:val="727819E2"/>
    <w:rsid w:val="72DF1245"/>
    <w:rsid w:val="742F6C5F"/>
    <w:rsid w:val="7E9E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9"/>
    <w:qFormat/>
    <w:uiPriority w:val="0"/>
    <w:pPr>
      <w:keepNext/>
      <w:keepLines/>
      <w:numPr>
        <w:ilvl w:val="0"/>
        <w:numId w:val="1"/>
      </w:numPr>
      <w:spacing w:beforeLines="50" w:afterLines="50"/>
      <w:outlineLvl w:val="0"/>
    </w:pPr>
    <w:rPr>
      <w:rFonts w:ascii="Arial" w:hAnsi="Arial" w:eastAsia="宋体" w:cs="Times New Roman"/>
      <w:b/>
      <w:kern w:val="44"/>
      <w:sz w:val="36"/>
      <w:szCs w:val="30"/>
      <w:lang w:val="en-US" w:eastAsia="zh-CN" w:bidi="ar-SA"/>
    </w:rPr>
  </w:style>
  <w:style w:type="paragraph" w:styleId="3">
    <w:name w:val="heading 2"/>
    <w:basedOn w:val="2"/>
    <w:next w:val="1"/>
    <w:link w:val="20"/>
    <w:qFormat/>
    <w:uiPriority w:val="0"/>
    <w:pPr>
      <w:numPr>
        <w:ilvl w:val="1"/>
      </w:numPr>
      <w:tabs>
        <w:tab w:val="left" w:pos="210"/>
        <w:tab w:val="left" w:pos="227"/>
        <w:tab w:val="left" w:pos="420"/>
      </w:tabs>
      <w:spacing w:line="400" w:lineRule="exact"/>
      <w:outlineLvl w:val="1"/>
    </w:pPr>
    <w:rPr>
      <w:rFonts w:ascii="Times New Roman" w:hAnsi="Times New Roman"/>
      <w:sz w:val="32"/>
      <w:szCs w:val="32"/>
    </w:rPr>
  </w:style>
  <w:style w:type="paragraph" w:styleId="4">
    <w:name w:val="heading 3"/>
    <w:basedOn w:val="3"/>
    <w:next w:val="1"/>
    <w:link w:val="21"/>
    <w:qFormat/>
    <w:uiPriority w:val="0"/>
    <w:pPr>
      <w:numPr>
        <w:ilvl w:val="2"/>
      </w:numPr>
      <w:tabs>
        <w:tab w:val="clear" w:pos="210"/>
        <w:tab w:val="clear" w:pos="227"/>
        <w:tab w:val="clear" w:pos="420"/>
      </w:tabs>
      <w:outlineLvl w:val="2"/>
    </w:pPr>
    <w:rPr>
      <w:sz w:val="30"/>
      <w:szCs w:val="28"/>
    </w:rPr>
  </w:style>
  <w:style w:type="paragraph" w:styleId="5">
    <w:name w:val="heading 4"/>
    <w:basedOn w:val="1"/>
    <w:next w:val="1"/>
    <w:link w:val="22"/>
    <w:qFormat/>
    <w:uiPriority w:val="0"/>
    <w:pPr>
      <w:keepNext/>
      <w:keepLines/>
      <w:numPr>
        <w:ilvl w:val="3"/>
        <w:numId w:val="1"/>
      </w:numPr>
      <w:tabs>
        <w:tab w:val="left" w:pos="1440"/>
      </w:tabs>
      <w:ind w:left="240" w:leftChars="100" w:right="240" w:rightChars="100" w:firstLine="0"/>
      <w:outlineLvl w:val="3"/>
    </w:pPr>
    <w:rPr>
      <w:rFonts w:ascii="Times New Roman" w:hAnsi="Times New Roman" w:eastAsia="宋体" w:cs="Times New Roman"/>
      <w:b/>
      <w:sz w:val="28"/>
      <w:szCs w:val="24"/>
    </w:rPr>
  </w:style>
  <w:style w:type="paragraph" w:styleId="6">
    <w:name w:val="heading 5"/>
    <w:basedOn w:val="1"/>
    <w:next w:val="1"/>
    <w:link w:val="23"/>
    <w:qFormat/>
    <w:uiPriority w:val="0"/>
    <w:pPr>
      <w:keepNext/>
      <w:keepLines/>
      <w:numPr>
        <w:ilvl w:val="0"/>
        <w:numId w:val="2"/>
      </w:numPr>
      <w:spacing w:before="40" w:after="50" w:line="377" w:lineRule="auto"/>
      <w:ind w:right="100" w:rightChars="100" w:firstLine="0"/>
      <w:outlineLvl w:val="4"/>
    </w:pPr>
    <w:rPr>
      <w:rFonts w:ascii="Times New Roman" w:hAnsi="Times New Roman" w:eastAsia="宋体" w:cs="Times New Roman"/>
      <w:b/>
      <w:bCs/>
      <w:sz w:val="24"/>
      <w:szCs w:val="28"/>
    </w:rPr>
  </w:style>
  <w:style w:type="paragraph" w:styleId="7">
    <w:name w:val="heading 6"/>
    <w:basedOn w:val="1"/>
    <w:next w:val="1"/>
    <w:link w:val="24"/>
    <w:qFormat/>
    <w:uiPriority w:val="0"/>
    <w:pPr>
      <w:keepNext/>
      <w:keepLines/>
      <w:numPr>
        <w:ilvl w:val="5"/>
        <w:numId w:val="1"/>
      </w:numPr>
      <w:tabs>
        <w:tab w:val="left" w:pos="567"/>
      </w:tabs>
      <w:spacing w:before="240" w:after="64" w:line="320" w:lineRule="auto"/>
      <w:ind w:firstLine="0"/>
      <w:outlineLvl w:val="5"/>
    </w:pPr>
    <w:rPr>
      <w:rFonts w:ascii="Arial" w:hAnsi="Arial" w:eastAsia="黑体" w:cs="Times New Roman"/>
      <w:b/>
      <w:bCs/>
      <w:sz w:val="24"/>
      <w:szCs w:val="24"/>
    </w:rPr>
  </w:style>
  <w:style w:type="paragraph" w:styleId="8">
    <w:name w:val="heading 7"/>
    <w:basedOn w:val="1"/>
    <w:next w:val="1"/>
    <w:link w:val="25"/>
    <w:qFormat/>
    <w:uiPriority w:val="0"/>
    <w:pPr>
      <w:keepNext/>
      <w:keepLines/>
      <w:numPr>
        <w:ilvl w:val="6"/>
        <w:numId w:val="1"/>
      </w:numPr>
      <w:tabs>
        <w:tab w:val="left" w:pos="567"/>
      </w:tabs>
      <w:spacing w:before="240" w:after="64" w:line="320" w:lineRule="auto"/>
      <w:ind w:firstLine="0"/>
      <w:outlineLvl w:val="6"/>
    </w:pPr>
    <w:rPr>
      <w:rFonts w:ascii="Times New Roman" w:hAnsi="Times New Roman" w:eastAsia="宋体" w:cs="Times New Roman"/>
      <w:b/>
      <w:bCs/>
      <w:sz w:val="24"/>
      <w:szCs w:val="24"/>
    </w:rPr>
  </w:style>
  <w:style w:type="paragraph" w:styleId="9">
    <w:name w:val="heading 8"/>
    <w:basedOn w:val="1"/>
    <w:next w:val="1"/>
    <w:link w:val="26"/>
    <w:qFormat/>
    <w:uiPriority w:val="0"/>
    <w:pPr>
      <w:keepNext/>
      <w:keepLines/>
      <w:numPr>
        <w:ilvl w:val="7"/>
        <w:numId w:val="1"/>
      </w:numPr>
      <w:tabs>
        <w:tab w:val="left" w:pos="567"/>
      </w:tabs>
      <w:spacing w:before="240" w:after="64" w:line="320" w:lineRule="auto"/>
      <w:ind w:firstLine="0"/>
      <w:outlineLvl w:val="7"/>
    </w:pPr>
    <w:rPr>
      <w:rFonts w:ascii="Arial" w:hAnsi="Arial" w:eastAsia="黑体" w:cs="Times New Roman"/>
      <w:sz w:val="24"/>
      <w:szCs w:val="24"/>
    </w:rPr>
  </w:style>
  <w:style w:type="paragraph" w:styleId="10">
    <w:name w:val="heading 9"/>
    <w:basedOn w:val="1"/>
    <w:next w:val="1"/>
    <w:link w:val="27"/>
    <w:qFormat/>
    <w:uiPriority w:val="0"/>
    <w:pPr>
      <w:keepNext/>
      <w:keepLines/>
      <w:numPr>
        <w:ilvl w:val="8"/>
        <w:numId w:val="1"/>
      </w:numPr>
      <w:tabs>
        <w:tab w:val="left" w:pos="567"/>
      </w:tabs>
      <w:spacing w:before="240" w:after="64" w:line="320" w:lineRule="auto"/>
      <w:ind w:firstLine="0"/>
      <w:outlineLvl w:val="8"/>
    </w:pPr>
    <w:rPr>
      <w:rFonts w:ascii="Arial" w:hAnsi="Arial" w:eastAsia="黑体" w:cs="Times New Roman"/>
      <w:sz w:val="24"/>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autoSpaceDE w:val="0"/>
      <w:autoSpaceDN w:val="0"/>
    </w:pPr>
    <w:rPr>
      <w:rFonts w:ascii="仿宋" w:hAnsi="仿宋" w:eastAsia="仿宋" w:cs="仿宋"/>
    </w:rPr>
  </w:style>
  <w:style w:type="paragraph" w:styleId="12">
    <w:name w:val="footer"/>
    <w:basedOn w:val="1"/>
    <w:link w:val="34"/>
    <w:semiHidden/>
    <w:unhideWhenUsed/>
    <w:qFormat/>
    <w:uiPriority w:val="99"/>
    <w:pPr>
      <w:tabs>
        <w:tab w:val="center" w:pos="4153"/>
        <w:tab w:val="right" w:pos="8306"/>
      </w:tabs>
      <w:snapToGrid w:val="0"/>
      <w:jc w:val="left"/>
    </w:pPr>
    <w:rPr>
      <w:sz w:val="18"/>
      <w:szCs w:val="18"/>
    </w:rPr>
  </w:style>
  <w:style w:type="paragraph" w:styleId="1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4"/>
    <w:basedOn w:val="1"/>
    <w:next w:val="1"/>
    <w:qFormat/>
    <w:uiPriority w:val="39"/>
    <w:pPr>
      <w:spacing w:line="300" w:lineRule="auto"/>
      <w:ind w:left="250" w:leftChars="250" w:firstLine="960" w:firstLineChars="200"/>
      <w:jc w:val="right"/>
    </w:pPr>
    <w:rPr>
      <w:rFonts w:ascii="Times New Roman" w:hAnsi="Times New Roman" w:eastAsia="宋体" w:cs="Times New Roman"/>
      <w:sz w:val="24"/>
      <w:szCs w:val="24"/>
    </w:rPr>
  </w:style>
  <w:style w:type="paragraph" w:styleId="15">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Char"/>
    <w:basedOn w:val="18"/>
    <w:link w:val="2"/>
    <w:qFormat/>
    <w:uiPriority w:val="0"/>
    <w:rPr>
      <w:rFonts w:ascii="Arial" w:hAnsi="Arial" w:eastAsia="宋体" w:cs="Times New Roman"/>
      <w:b/>
      <w:kern w:val="44"/>
      <w:sz w:val="36"/>
      <w:szCs w:val="30"/>
    </w:rPr>
  </w:style>
  <w:style w:type="character" w:customStyle="1" w:styleId="20">
    <w:name w:val="标题 2 Char"/>
    <w:basedOn w:val="18"/>
    <w:link w:val="3"/>
    <w:qFormat/>
    <w:uiPriority w:val="0"/>
    <w:rPr>
      <w:rFonts w:ascii="Times New Roman" w:hAnsi="Times New Roman" w:eastAsia="宋体" w:cs="Times New Roman"/>
      <w:b/>
      <w:kern w:val="44"/>
      <w:sz w:val="32"/>
      <w:szCs w:val="32"/>
    </w:rPr>
  </w:style>
  <w:style w:type="character" w:customStyle="1" w:styleId="21">
    <w:name w:val="标题 3 Char"/>
    <w:basedOn w:val="18"/>
    <w:link w:val="4"/>
    <w:qFormat/>
    <w:uiPriority w:val="0"/>
    <w:rPr>
      <w:rFonts w:ascii="Times New Roman" w:hAnsi="Times New Roman" w:eastAsia="宋体" w:cs="Times New Roman"/>
      <w:b/>
      <w:kern w:val="44"/>
      <w:sz w:val="30"/>
      <w:szCs w:val="28"/>
    </w:rPr>
  </w:style>
  <w:style w:type="character" w:customStyle="1" w:styleId="22">
    <w:name w:val="标题 4 Char"/>
    <w:basedOn w:val="18"/>
    <w:link w:val="5"/>
    <w:qFormat/>
    <w:uiPriority w:val="0"/>
    <w:rPr>
      <w:rFonts w:ascii="Times New Roman" w:hAnsi="Times New Roman" w:eastAsia="宋体" w:cs="Times New Roman"/>
      <w:b/>
      <w:sz w:val="28"/>
      <w:szCs w:val="24"/>
    </w:rPr>
  </w:style>
  <w:style w:type="character" w:customStyle="1" w:styleId="23">
    <w:name w:val="标题 5 Char"/>
    <w:basedOn w:val="18"/>
    <w:link w:val="6"/>
    <w:qFormat/>
    <w:uiPriority w:val="0"/>
    <w:rPr>
      <w:rFonts w:ascii="Times New Roman" w:hAnsi="Times New Roman" w:eastAsia="宋体" w:cs="Times New Roman"/>
      <w:b/>
      <w:bCs/>
      <w:sz w:val="24"/>
      <w:szCs w:val="28"/>
    </w:rPr>
  </w:style>
  <w:style w:type="character" w:customStyle="1" w:styleId="24">
    <w:name w:val="标题 6 Char"/>
    <w:basedOn w:val="18"/>
    <w:link w:val="7"/>
    <w:qFormat/>
    <w:uiPriority w:val="0"/>
    <w:rPr>
      <w:rFonts w:ascii="Arial" w:hAnsi="Arial" w:eastAsia="黑体" w:cs="Times New Roman"/>
      <w:b/>
      <w:bCs/>
      <w:sz w:val="24"/>
      <w:szCs w:val="24"/>
    </w:rPr>
  </w:style>
  <w:style w:type="character" w:customStyle="1" w:styleId="25">
    <w:name w:val="标题 7 Char"/>
    <w:basedOn w:val="18"/>
    <w:link w:val="8"/>
    <w:qFormat/>
    <w:uiPriority w:val="0"/>
    <w:rPr>
      <w:rFonts w:ascii="Times New Roman" w:hAnsi="Times New Roman" w:eastAsia="宋体" w:cs="Times New Roman"/>
      <w:b/>
      <w:bCs/>
      <w:sz w:val="24"/>
      <w:szCs w:val="24"/>
    </w:rPr>
  </w:style>
  <w:style w:type="character" w:customStyle="1" w:styleId="26">
    <w:name w:val="标题 8 Char"/>
    <w:basedOn w:val="18"/>
    <w:link w:val="9"/>
    <w:qFormat/>
    <w:uiPriority w:val="0"/>
    <w:rPr>
      <w:rFonts w:ascii="Arial" w:hAnsi="Arial" w:eastAsia="黑体" w:cs="Times New Roman"/>
      <w:sz w:val="24"/>
      <w:szCs w:val="24"/>
    </w:rPr>
  </w:style>
  <w:style w:type="character" w:customStyle="1" w:styleId="27">
    <w:name w:val="标题 9 Char"/>
    <w:basedOn w:val="18"/>
    <w:link w:val="10"/>
    <w:qFormat/>
    <w:uiPriority w:val="0"/>
    <w:rPr>
      <w:rFonts w:ascii="Arial" w:hAnsi="Arial" w:eastAsia="黑体" w:cs="Times New Roman"/>
      <w:sz w:val="24"/>
      <w:szCs w:val="21"/>
    </w:rPr>
  </w:style>
  <w:style w:type="paragraph" w:styleId="28">
    <w:name w:val="List Paragraph"/>
    <w:basedOn w:val="1"/>
    <w:link w:val="32"/>
    <w:qFormat/>
    <w:uiPriority w:val="34"/>
    <w:pPr>
      <w:ind w:firstLine="420" w:firstLineChars="200"/>
    </w:pPr>
  </w:style>
  <w:style w:type="character" w:customStyle="1" w:styleId="29">
    <w:name w:val="标题 Char"/>
    <w:basedOn w:val="18"/>
    <w:link w:val="15"/>
    <w:qFormat/>
    <w:uiPriority w:val="10"/>
    <w:rPr>
      <w:rFonts w:eastAsia="宋体" w:asciiTheme="majorHAnsi" w:hAnsiTheme="majorHAnsi" w:cstheme="majorBidi"/>
      <w:b/>
      <w:bCs/>
      <w:sz w:val="32"/>
      <w:szCs w:val="32"/>
    </w:rPr>
  </w:style>
  <w:style w:type="paragraph" w:customStyle="1" w:styleId="30">
    <w:name w:val="内容编号"/>
    <w:basedOn w:val="1"/>
    <w:qFormat/>
    <w:uiPriority w:val="0"/>
    <w:pPr>
      <w:numPr>
        <w:ilvl w:val="1"/>
        <w:numId w:val="3"/>
      </w:numPr>
    </w:pPr>
  </w:style>
  <w:style w:type="paragraph" w:customStyle="1" w:styleId="31">
    <w:name w:val="文档正文"/>
    <w:basedOn w:val="1"/>
    <w:qFormat/>
    <w:uiPriority w:val="0"/>
    <w:pPr>
      <w:numPr>
        <w:ilvl w:val="0"/>
        <w:numId w:val="4"/>
      </w:numPr>
    </w:pPr>
  </w:style>
  <w:style w:type="character" w:customStyle="1" w:styleId="32">
    <w:name w:val="列出段落 Char"/>
    <w:link w:val="28"/>
    <w:qFormat/>
    <w:uiPriority w:val="34"/>
  </w:style>
  <w:style w:type="character" w:customStyle="1" w:styleId="33">
    <w:name w:val="页眉 Char"/>
    <w:basedOn w:val="18"/>
    <w:link w:val="13"/>
    <w:semiHidden/>
    <w:qFormat/>
    <w:uiPriority w:val="99"/>
    <w:rPr>
      <w:sz w:val="18"/>
      <w:szCs w:val="18"/>
    </w:rPr>
  </w:style>
  <w:style w:type="character" w:customStyle="1" w:styleId="34">
    <w:name w:val="页脚 Char"/>
    <w:basedOn w:val="18"/>
    <w:link w:val="12"/>
    <w:semiHidden/>
    <w:qFormat/>
    <w:uiPriority w:val="99"/>
    <w:rPr>
      <w:sz w:val="18"/>
      <w:szCs w:val="18"/>
    </w:rPr>
  </w:style>
  <w:style w:type="paragraph" w:customStyle="1" w:styleId="35">
    <w:name w:val="Default"/>
    <w:unhideWhenUsed/>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C13AC-5FD7-49C8-94F0-3FECC206EF7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454</Words>
  <Characters>2589</Characters>
  <Lines>21</Lines>
  <Paragraphs>6</Paragraphs>
  <TotalTime>32</TotalTime>
  <ScaleCrop>false</ScaleCrop>
  <LinksUpToDate>false</LinksUpToDate>
  <CharactersWithSpaces>3037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2020-05-27T09:13:00Z</dcterms:created>
  <dc:creator>廖锡广</dc:creator>
  <cp:lastModifiedBy>未知</cp:lastModifiedBy>
  <cp:lastPrinted>2026-05-22T07:02:13Z</cp:lastPrinted>
  <dcterms:modified xsi:type="dcterms:W3CDTF">2026-05-22T07:18:14Z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eyJoZGlkIjoiOTI5ZTJlYzc2NjU2ZjRjZjNmODkxNjUzYzc5NzdmNDMiLCJ1c2VySWQiOiI4NDQ3NDQyODQifQ==</vt:lpwstr>
  </property>
  <property fmtid="{D5CDD505-2E9C-101B-9397-08002B2CF9AE}" pid="4" name="ICV">
    <vt:lpwstr>16A97F5025B147139A433AD41E0B1A2B_12</vt:lpwstr>
  </property>
</Properties>
</file>